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B8C" w:rsidRDefault="009A4B8C" w:rsidP="009A4B8C">
      <w:pPr>
        <w:pStyle w:val="NormalWeb"/>
      </w:pPr>
      <w:bookmarkStart w:id="0" w:name="_GoBack"/>
      <w:bookmarkEnd w:id="0"/>
      <w:r>
        <w:rPr>
          <w:rFonts w:ascii="HelveticaNeueLT" w:hAnsi="HelveticaNeueLT"/>
          <w:sz w:val="34"/>
          <w:szCs w:val="34"/>
        </w:rPr>
        <w:t xml:space="preserve">Échelles d’évaluation de la fonction motrice dans la rééducation du membre supérieur hémiparétique chez l’adulte </w:t>
      </w:r>
    </w:p>
    <w:p w:rsidR="009A4B8C" w:rsidRPr="009A4B8C" w:rsidRDefault="009A4B8C" w:rsidP="009A4B8C">
      <w:pPr>
        <w:spacing w:before="100" w:beforeAutospacing="1" w:after="100" w:afterAutospacing="1"/>
        <w:rPr>
          <w:rFonts w:ascii="Times New Roman" w:eastAsia="Times New Roman" w:hAnsi="Times New Roman" w:cs="Times New Roman"/>
          <w:lang w:eastAsia="fr-FR"/>
        </w:rPr>
      </w:pPr>
      <w:r>
        <w:rPr>
          <w:rFonts w:ascii="HelveticaNeueLT" w:eastAsia="Times New Roman" w:hAnsi="HelveticaNeueLT" w:cs="Times New Roman"/>
          <w:i/>
          <w:iCs/>
          <w:sz w:val="16"/>
          <w:szCs w:val="16"/>
          <w:lang w:eastAsia="fr-FR"/>
        </w:rPr>
        <w:t xml:space="preserve">Les thérapeutes ont </w:t>
      </w:r>
      <w:r w:rsidRPr="009A4B8C">
        <w:rPr>
          <w:rFonts w:ascii="HelveticaNeueLT" w:eastAsia="Times New Roman" w:hAnsi="HelveticaNeueLT" w:cs="Times New Roman"/>
          <w:i/>
          <w:iCs/>
          <w:sz w:val="16"/>
          <w:szCs w:val="16"/>
          <w:lang w:eastAsia="fr-FR"/>
        </w:rPr>
        <w:t>besoin d’outils d’évaluation validés pour affiner l’évaluation de différentes fonctions.</w:t>
      </w:r>
      <w:r w:rsidRPr="009A4B8C">
        <w:rPr>
          <w:rFonts w:ascii="HelveticaNeueLT" w:eastAsia="Times New Roman" w:hAnsi="HelveticaNeueLT" w:cs="Times New Roman"/>
          <w:i/>
          <w:iCs/>
          <w:sz w:val="16"/>
          <w:szCs w:val="16"/>
          <w:lang w:eastAsia="fr-FR"/>
        </w:rPr>
        <w:br/>
        <w:t xml:space="preserve">Au cours de cette formation, les </w:t>
      </w:r>
      <w:r>
        <w:rPr>
          <w:rFonts w:ascii="HelveticaNeueLT" w:eastAsia="Times New Roman" w:hAnsi="HelveticaNeueLT" w:cs="Times New Roman"/>
          <w:i/>
          <w:iCs/>
          <w:sz w:val="16"/>
          <w:szCs w:val="16"/>
          <w:lang w:eastAsia="fr-FR"/>
        </w:rPr>
        <w:t xml:space="preserve">thérapeutes </w:t>
      </w:r>
      <w:r w:rsidRPr="009A4B8C">
        <w:rPr>
          <w:rFonts w:ascii="HelveticaNeueLT" w:eastAsia="Times New Roman" w:hAnsi="HelveticaNeueLT" w:cs="Times New Roman"/>
          <w:i/>
          <w:iCs/>
          <w:sz w:val="16"/>
          <w:szCs w:val="16"/>
          <w:lang w:eastAsia="fr-FR"/>
        </w:rPr>
        <w:t>étudieront les intérêts et limites des outils d’évaluations de la fonction motrice du membre supérieur en neurologie, utilisés chez l’adulte et cités fréquemment dans la littérature scientifique. Ils apprendront</w:t>
      </w:r>
      <w:r w:rsidRPr="009A4B8C">
        <w:rPr>
          <w:rFonts w:ascii="HelveticaNeueLT" w:eastAsia="Times New Roman" w:hAnsi="HelveticaNeueLT" w:cs="Times New Roman"/>
          <w:i/>
          <w:iCs/>
          <w:sz w:val="16"/>
          <w:szCs w:val="16"/>
          <w:lang w:eastAsia="fr-FR"/>
        </w:rPr>
        <w:br/>
      </w:r>
      <w:proofErr w:type="spellStart"/>
      <w:r w:rsidRPr="009A4B8C">
        <w:rPr>
          <w:rFonts w:ascii="HelveticaNeueLT" w:eastAsia="Times New Roman" w:hAnsi="HelveticaNeueLT" w:cs="Times New Roman"/>
          <w:i/>
          <w:iCs/>
          <w:sz w:val="16"/>
          <w:szCs w:val="16"/>
          <w:lang w:eastAsia="fr-FR"/>
        </w:rPr>
        <w:t>a</w:t>
      </w:r>
      <w:proofErr w:type="spellEnd"/>
      <w:r w:rsidRPr="009A4B8C">
        <w:rPr>
          <w:rFonts w:ascii="HelveticaNeueLT" w:eastAsia="Times New Roman" w:hAnsi="HelveticaNeueLT" w:cs="Times New Roman"/>
          <w:i/>
          <w:iCs/>
          <w:sz w:val="16"/>
          <w:szCs w:val="16"/>
          <w:lang w:eastAsia="fr-FR"/>
        </w:rPr>
        <w:t>̀ choisir les outils plus pertinents pour le patient et à les utiliser de la passation jusqu’</w:t>
      </w:r>
      <w:proofErr w:type="spellStart"/>
      <w:r w:rsidRPr="009A4B8C">
        <w:rPr>
          <w:rFonts w:ascii="HelveticaNeueLT" w:eastAsia="Times New Roman" w:hAnsi="HelveticaNeueLT" w:cs="Times New Roman"/>
          <w:i/>
          <w:iCs/>
          <w:sz w:val="16"/>
          <w:szCs w:val="16"/>
          <w:lang w:eastAsia="fr-FR"/>
        </w:rPr>
        <w:t>a</w:t>
      </w:r>
      <w:proofErr w:type="spellEnd"/>
      <w:r w:rsidRPr="009A4B8C">
        <w:rPr>
          <w:rFonts w:ascii="HelveticaNeueLT" w:eastAsia="Times New Roman" w:hAnsi="HelveticaNeueLT" w:cs="Times New Roman"/>
          <w:i/>
          <w:iCs/>
          <w:sz w:val="16"/>
          <w:szCs w:val="16"/>
          <w:lang w:eastAsia="fr-FR"/>
        </w:rPr>
        <w:t>̀ l’interprétation et la communication des résultats obtenus. Les traduct</w:t>
      </w:r>
      <w:r>
        <w:rPr>
          <w:rFonts w:ascii="HelveticaNeueLT" w:eastAsia="Times New Roman" w:hAnsi="HelveticaNeueLT" w:cs="Times New Roman"/>
          <w:i/>
          <w:iCs/>
          <w:sz w:val="16"/>
          <w:szCs w:val="16"/>
          <w:lang w:eastAsia="fr-FR"/>
        </w:rPr>
        <w:t xml:space="preserve">ions des protocoles présentés </w:t>
      </w:r>
      <w:r w:rsidRPr="009A4B8C">
        <w:rPr>
          <w:rFonts w:ascii="HelveticaNeueLT" w:eastAsia="Times New Roman" w:hAnsi="HelveticaNeueLT" w:cs="Times New Roman"/>
          <w:i/>
          <w:iCs/>
          <w:sz w:val="16"/>
          <w:szCs w:val="16"/>
          <w:lang w:eastAsia="fr-FR"/>
        </w:rPr>
        <w:t xml:space="preserve">ont été́ validées. </w:t>
      </w:r>
    </w:p>
    <w:p w:rsidR="009A4B8C" w:rsidRDefault="009A4B8C" w:rsidP="009A4B8C">
      <w:pPr>
        <w:pStyle w:val="NormalWeb"/>
      </w:pPr>
      <w:r>
        <w:rPr>
          <w:rFonts w:ascii="HelveticaNeueLT" w:hAnsi="HelveticaNeueLT"/>
          <w:b/>
          <w:bCs/>
          <w:sz w:val="20"/>
          <w:szCs w:val="20"/>
        </w:rPr>
        <w:t xml:space="preserve">Objectif général </w:t>
      </w:r>
    </w:p>
    <w:p w:rsidR="009A4B8C" w:rsidRDefault="009A4B8C" w:rsidP="009A4B8C">
      <w:pPr>
        <w:pStyle w:val="NormalWeb"/>
      </w:pPr>
      <w:r>
        <w:rPr>
          <w:rFonts w:ascii="HelveticaNeueLT" w:hAnsi="HelveticaNeueLT"/>
          <w:sz w:val="18"/>
          <w:szCs w:val="18"/>
        </w:rPr>
        <w:t xml:space="preserve">Évaluer la fonction motrice du membre supérieur hémiparétique chez l'adulte. </w:t>
      </w:r>
    </w:p>
    <w:p w:rsidR="009A4B8C" w:rsidRDefault="009A4B8C" w:rsidP="009A4B8C">
      <w:pPr>
        <w:pStyle w:val="NormalWeb"/>
      </w:pPr>
      <w:r>
        <w:rPr>
          <w:rFonts w:ascii="HelveticaNeueLT" w:hAnsi="HelveticaNeueLT"/>
          <w:b/>
          <w:bCs/>
          <w:sz w:val="20"/>
          <w:szCs w:val="20"/>
        </w:rPr>
        <w:t xml:space="preserve">Objectifs spécifiques </w:t>
      </w:r>
    </w:p>
    <w:p w:rsidR="009A4B8C" w:rsidRDefault="009A4B8C" w:rsidP="009A4B8C">
      <w:pPr>
        <w:pStyle w:val="NormalWeb"/>
        <w:rPr>
          <w:rFonts w:ascii="HelveticaNeueLT" w:hAnsi="HelveticaNeueLT"/>
          <w:sz w:val="18"/>
          <w:szCs w:val="18"/>
        </w:rPr>
      </w:pPr>
      <w:r>
        <w:rPr>
          <w:rFonts w:ascii="HelveticaNeueLT" w:hAnsi="HelveticaNeueLT"/>
          <w:sz w:val="18"/>
          <w:szCs w:val="18"/>
        </w:rPr>
        <w:t xml:space="preserve">• Analyser les outils d’évaluation utilisés dans le service </w:t>
      </w:r>
    </w:p>
    <w:p w:rsidR="009A4B8C" w:rsidRDefault="009A4B8C" w:rsidP="009A4B8C">
      <w:pPr>
        <w:pStyle w:val="NormalWeb"/>
        <w:rPr>
          <w:rFonts w:ascii="HelveticaNeueLT" w:hAnsi="HelveticaNeueLT"/>
          <w:sz w:val="18"/>
          <w:szCs w:val="18"/>
        </w:rPr>
      </w:pPr>
      <w:r>
        <w:rPr>
          <w:rFonts w:ascii="HelveticaNeueLT" w:hAnsi="HelveticaNeueLT"/>
          <w:sz w:val="18"/>
          <w:szCs w:val="18"/>
        </w:rPr>
        <w:t>• Argumenter l’introduction d’outils d’évaluation pertinents en fonction du contexte</w:t>
      </w:r>
    </w:p>
    <w:p w:rsidR="009A4B8C" w:rsidRDefault="009A4B8C" w:rsidP="009A4B8C">
      <w:pPr>
        <w:pStyle w:val="NormalWeb"/>
        <w:rPr>
          <w:rFonts w:ascii="HelveticaNeueLT" w:hAnsi="HelveticaNeueLT"/>
          <w:sz w:val="18"/>
          <w:szCs w:val="18"/>
        </w:rPr>
      </w:pPr>
      <w:r>
        <w:rPr>
          <w:rFonts w:ascii="HelveticaNeueLT" w:hAnsi="HelveticaNeueLT"/>
          <w:sz w:val="18"/>
          <w:szCs w:val="18"/>
        </w:rPr>
        <w:t>• Choisir les outils les plus pertinents pour l’évaluation de la fonction motrice du membre supérieur hémiparétique</w:t>
      </w:r>
    </w:p>
    <w:p w:rsidR="009A4B8C" w:rsidRDefault="009A4B8C" w:rsidP="009A4B8C">
      <w:pPr>
        <w:pStyle w:val="NormalWeb"/>
        <w:rPr>
          <w:rFonts w:ascii="HelveticaNeueLT" w:hAnsi="HelveticaNeueLT"/>
          <w:sz w:val="18"/>
          <w:szCs w:val="18"/>
        </w:rPr>
      </w:pPr>
      <w:r>
        <w:rPr>
          <w:rFonts w:ascii="HelveticaNeueLT" w:hAnsi="HelveticaNeueLT"/>
          <w:sz w:val="18"/>
          <w:szCs w:val="18"/>
        </w:rPr>
        <w:t>• Se familiariser avec les protocoles en utilisant ces outils d’évaluation</w:t>
      </w:r>
    </w:p>
    <w:p w:rsidR="009A4B8C" w:rsidRDefault="009A4B8C" w:rsidP="009A4B8C">
      <w:pPr>
        <w:pStyle w:val="NormalWeb"/>
        <w:rPr>
          <w:rFonts w:ascii="HelveticaNeueLT" w:hAnsi="HelveticaNeueLT"/>
          <w:sz w:val="18"/>
          <w:szCs w:val="18"/>
        </w:rPr>
      </w:pPr>
      <w:r>
        <w:rPr>
          <w:rFonts w:ascii="HelveticaNeueLT" w:hAnsi="HelveticaNeueLT"/>
          <w:sz w:val="18"/>
          <w:szCs w:val="18"/>
        </w:rPr>
        <w:t>•</w:t>
      </w:r>
      <w:r w:rsidRPr="009A4B8C">
        <w:rPr>
          <w:rFonts w:ascii="HelveticaNeueLT" w:hAnsi="HelveticaNeueLT"/>
          <w:b/>
          <w:sz w:val="18"/>
          <w:szCs w:val="18"/>
        </w:rPr>
        <w:t xml:space="preserve"> </w:t>
      </w:r>
      <w:r>
        <w:rPr>
          <w:rFonts w:ascii="HelveticaNeueLT" w:hAnsi="HelveticaNeueLT"/>
          <w:sz w:val="18"/>
          <w:szCs w:val="18"/>
        </w:rPr>
        <w:t>Analyser les résultats obtenus et les interpréter</w:t>
      </w:r>
    </w:p>
    <w:p w:rsidR="009A4B8C" w:rsidRPr="009A4B8C" w:rsidRDefault="009A4B8C" w:rsidP="009A4B8C">
      <w:pPr>
        <w:pStyle w:val="NormalWeb"/>
        <w:rPr>
          <w:rFonts w:ascii="HelveticaNeueLT" w:hAnsi="HelveticaNeueLT"/>
          <w:sz w:val="18"/>
          <w:szCs w:val="18"/>
        </w:rPr>
      </w:pPr>
      <w:r>
        <w:rPr>
          <w:rFonts w:ascii="HelveticaNeueLT" w:hAnsi="HelveticaNeueLT"/>
          <w:sz w:val="18"/>
          <w:szCs w:val="18"/>
        </w:rPr>
        <w:t xml:space="preserve">• Communiquer les résultats obtenus </w:t>
      </w:r>
    </w:p>
    <w:p w:rsidR="009A4B8C" w:rsidRDefault="009A4B8C" w:rsidP="009A4B8C">
      <w:pPr>
        <w:pStyle w:val="NormalWeb"/>
      </w:pPr>
      <w:r>
        <w:rPr>
          <w:rFonts w:ascii="HelveticaNeueLT" w:hAnsi="HelveticaNeueLT"/>
          <w:b/>
          <w:bCs/>
          <w:sz w:val="20"/>
          <w:szCs w:val="20"/>
        </w:rPr>
        <w:t xml:space="preserve">Contenu </w:t>
      </w:r>
    </w:p>
    <w:p w:rsidR="009A4B8C" w:rsidRDefault="009A4B8C" w:rsidP="009A4B8C">
      <w:pPr>
        <w:pStyle w:val="NormalWeb"/>
        <w:rPr>
          <w:rFonts w:ascii="HelveticaNeueLT" w:hAnsi="HelveticaNeueLT"/>
          <w:sz w:val="18"/>
          <w:szCs w:val="18"/>
        </w:rPr>
      </w:pPr>
      <w:r>
        <w:rPr>
          <w:rFonts w:ascii="HelveticaNeueLT" w:hAnsi="HelveticaNeueLT"/>
          <w:sz w:val="18"/>
          <w:szCs w:val="18"/>
        </w:rPr>
        <w:t>• Les critères de qualité́ d’un outil d’évaluation</w:t>
      </w:r>
    </w:p>
    <w:p w:rsidR="009A4B8C" w:rsidRDefault="009A4B8C" w:rsidP="009A4B8C">
      <w:pPr>
        <w:pStyle w:val="NormalWeb"/>
        <w:rPr>
          <w:rFonts w:ascii="HelveticaNeueLT" w:hAnsi="HelveticaNeueLT"/>
          <w:sz w:val="18"/>
          <w:szCs w:val="18"/>
        </w:rPr>
      </w:pPr>
      <w:r>
        <w:rPr>
          <w:rFonts w:ascii="HelveticaNeueLT" w:hAnsi="HelveticaNeueLT"/>
          <w:sz w:val="18"/>
          <w:szCs w:val="18"/>
        </w:rPr>
        <w:t>• La présentation et l’utilisation de la grille de Law (évalue la pertinence de l’outil pour la population donnée)</w:t>
      </w:r>
    </w:p>
    <w:p w:rsidR="009A4B8C" w:rsidRPr="009A4B8C" w:rsidRDefault="009A4B8C" w:rsidP="009A4B8C">
      <w:pPr>
        <w:pStyle w:val="NormalWeb"/>
        <w:rPr>
          <w:rFonts w:ascii="HelveticaNeueLT" w:hAnsi="HelveticaNeueLT"/>
          <w:sz w:val="18"/>
          <w:szCs w:val="18"/>
        </w:rPr>
      </w:pPr>
      <w:r>
        <w:rPr>
          <w:rFonts w:ascii="HelveticaNeueLT" w:hAnsi="HelveticaNeueLT"/>
          <w:sz w:val="18"/>
          <w:szCs w:val="18"/>
        </w:rPr>
        <w:t xml:space="preserve">• La présentation et la démonstration de plusieurs outils : </w:t>
      </w:r>
      <w:r w:rsidRPr="009A4B8C">
        <w:rPr>
          <w:rFonts w:ascii="HelveticaNeueLT" w:hAnsi="HelveticaNeueLT"/>
          <w:sz w:val="18"/>
          <w:szCs w:val="18"/>
        </w:rPr>
        <w:t xml:space="preserve">Échelle de </w:t>
      </w:r>
      <w:proofErr w:type="spellStart"/>
      <w:r w:rsidRPr="009A4B8C">
        <w:rPr>
          <w:rFonts w:ascii="HelveticaNeueLT" w:hAnsi="HelveticaNeueLT"/>
          <w:sz w:val="18"/>
          <w:szCs w:val="18"/>
        </w:rPr>
        <w:t>Fugl</w:t>
      </w:r>
      <w:proofErr w:type="spellEnd"/>
      <w:r w:rsidRPr="009A4B8C">
        <w:rPr>
          <w:rFonts w:ascii="HelveticaNeueLT" w:hAnsi="HelveticaNeueLT"/>
          <w:sz w:val="18"/>
          <w:szCs w:val="18"/>
        </w:rPr>
        <w:t xml:space="preserve"> Meyer, Box and Block Test, </w:t>
      </w:r>
      <w:proofErr w:type="spellStart"/>
      <w:r w:rsidRPr="009A4B8C">
        <w:rPr>
          <w:rFonts w:ascii="HelveticaNeueLT" w:hAnsi="HelveticaNeueLT"/>
          <w:sz w:val="18"/>
          <w:szCs w:val="18"/>
        </w:rPr>
        <w:t>Nine</w:t>
      </w:r>
      <w:proofErr w:type="spellEnd"/>
      <w:r w:rsidRPr="009A4B8C">
        <w:rPr>
          <w:rFonts w:ascii="HelveticaNeueLT" w:hAnsi="HelveticaNeueLT"/>
          <w:sz w:val="18"/>
          <w:szCs w:val="18"/>
        </w:rPr>
        <w:t xml:space="preserve"> </w:t>
      </w:r>
      <w:proofErr w:type="spellStart"/>
      <w:r w:rsidRPr="009A4B8C">
        <w:rPr>
          <w:rFonts w:ascii="HelveticaNeueLT" w:hAnsi="HelveticaNeueLT"/>
          <w:sz w:val="18"/>
          <w:szCs w:val="18"/>
        </w:rPr>
        <w:t>Hole</w:t>
      </w:r>
      <w:proofErr w:type="spellEnd"/>
      <w:r w:rsidRPr="009A4B8C">
        <w:rPr>
          <w:rFonts w:ascii="HelveticaNeueLT" w:hAnsi="HelveticaNeueLT"/>
          <w:sz w:val="18"/>
          <w:szCs w:val="18"/>
        </w:rPr>
        <w:t xml:space="preserve"> - </w:t>
      </w:r>
      <w:proofErr w:type="spellStart"/>
      <w:r w:rsidRPr="009A4B8C">
        <w:rPr>
          <w:rFonts w:ascii="HelveticaNeueLT" w:hAnsi="HelveticaNeueLT"/>
          <w:sz w:val="18"/>
          <w:szCs w:val="18"/>
        </w:rPr>
        <w:t>Peg</w:t>
      </w:r>
      <w:proofErr w:type="spellEnd"/>
      <w:r w:rsidRPr="009A4B8C">
        <w:rPr>
          <w:rFonts w:ascii="HelveticaNeueLT" w:hAnsi="HelveticaNeueLT"/>
          <w:sz w:val="18"/>
          <w:szCs w:val="18"/>
        </w:rPr>
        <w:t xml:space="preserve"> Test, Action </w:t>
      </w:r>
      <w:proofErr w:type="spellStart"/>
      <w:r>
        <w:rPr>
          <w:rFonts w:ascii="HelveticaNeueLT" w:hAnsi="HelveticaNeueLT"/>
          <w:sz w:val="18"/>
          <w:szCs w:val="18"/>
        </w:rPr>
        <w:t>Research</w:t>
      </w:r>
      <w:proofErr w:type="spellEnd"/>
      <w:r>
        <w:rPr>
          <w:rFonts w:ascii="HelveticaNeueLT" w:hAnsi="HelveticaNeueLT"/>
          <w:sz w:val="18"/>
          <w:szCs w:val="18"/>
        </w:rPr>
        <w:t xml:space="preserve"> Arm Test, Stroke </w:t>
      </w:r>
      <w:proofErr w:type="spellStart"/>
      <w:r>
        <w:rPr>
          <w:rFonts w:ascii="HelveticaNeueLT" w:hAnsi="HelveticaNeueLT"/>
          <w:sz w:val="18"/>
          <w:szCs w:val="18"/>
        </w:rPr>
        <w:t>Upper</w:t>
      </w:r>
      <w:proofErr w:type="spellEnd"/>
      <w:r>
        <w:rPr>
          <w:rFonts w:ascii="HelveticaNeueLT" w:hAnsi="HelveticaNeueLT"/>
          <w:sz w:val="18"/>
          <w:szCs w:val="18"/>
        </w:rPr>
        <w:t xml:space="preserve"> </w:t>
      </w:r>
      <w:proofErr w:type="spellStart"/>
      <w:r w:rsidRPr="009A4B8C">
        <w:rPr>
          <w:rFonts w:ascii="HelveticaNeueLT" w:hAnsi="HelveticaNeueLT"/>
          <w:sz w:val="18"/>
          <w:szCs w:val="18"/>
        </w:rPr>
        <w:t>Limb</w:t>
      </w:r>
      <w:proofErr w:type="spellEnd"/>
      <w:r w:rsidRPr="009A4B8C">
        <w:rPr>
          <w:rFonts w:ascii="HelveticaNeueLT" w:hAnsi="HelveticaNeueLT"/>
          <w:sz w:val="18"/>
          <w:szCs w:val="18"/>
        </w:rPr>
        <w:t xml:space="preserve"> </w:t>
      </w:r>
      <w:proofErr w:type="spellStart"/>
      <w:r w:rsidRPr="009A4B8C">
        <w:rPr>
          <w:rFonts w:ascii="HelveticaNeueLT" w:hAnsi="HelveticaNeueLT"/>
          <w:sz w:val="18"/>
          <w:szCs w:val="18"/>
        </w:rPr>
        <w:t>Capacity</w:t>
      </w:r>
      <w:proofErr w:type="spellEnd"/>
      <w:r w:rsidRPr="009A4B8C">
        <w:rPr>
          <w:rFonts w:ascii="HelveticaNeueLT" w:hAnsi="HelveticaNeueLT"/>
          <w:sz w:val="18"/>
          <w:szCs w:val="18"/>
        </w:rPr>
        <w:t xml:space="preserve"> </w:t>
      </w:r>
      <w:proofErr w:type="spellStart"/>
      <w:r w:rsidRPr="009A4B8C">
        <w:rPr>
          <w:rFonts w:ascii="HelveticaNeueLT" w:hAnsi="HelveticaNeueLT"/>
          <w:sz w:val="18"/>
          <w:szCs w:val="18"/>
        </w:rPr>
        <w:t>Scale</w:t>
      </w:r>
      <w:proofErr w:type="spellEnd"/>
      <w:r w:rsidRPr="009A4B8C">
        <w:rPr>
          <w:rFonts w:ascii="HelveticaNeueLT" w:hAnsi="HelveticaNeueLT"/>
          <w:sz w:val="18"/>
          <w:szCs w:val="18"/>
        </w:rPr>
        <w:t xml:space="preserve"> (SULCS), </w:t>
      </w:r>
      <w:proofErr w:type="spellStart"/>
      <w:r>
        <w:rPr>
          <w:rFonts w:ascii="HelveticaNeueLT" w:hAnsi="HelveticaNeueLT"/>
          <w:sz w:val="18"/>
          <w:szCs w:val="18"/>
        </w:rPr>
        <w:t>Motor</w:t>
      </w:r>
      <w:proofErr w:type="spellEnd"/>
      <w:r>
        <w:rPr>
          <w:rFonts w:ascii="HelveticaNeueLT" w:hAnsi="HelveticaNeueLT"/>
          <w:sz w:val="18"/>
          <w:szCs w:val="18"/>
        </w:rPr>
        <w:t xml:space="preserve"> </w:t>
      </w:r>
      <w:proofErr w:type="spellStart"/>
      <w:r>
        <w:rPr>
          <w:rFonts w:ascii="HelveticaNeueLT" w:hAnsi="HelveticaNeueLT"/>
          <w:sz w:val="18"/>
          <w:szCs w:val="18"/>
        </w:rPr>
        <w:t>Activity</w:t>
      </w:r>
      <w:proofErr w:type="spellEnd"/>
      <w:r>
        <w:rPr>
          <w:rFonts w:ascii="HelveticaNeueLT" w:hAnsi="HelveticaNeueLT"/>
          <w:sz w:val="18"/>
          <w:szCs w:val="18"/>
        </w:rPr>
        <w:t xml:space="preserve"> Log, mesure de la force de préhension </w:t>
      </w:r>
    </w:p>
    <w:p w:rsidR="009A4B8C" w:rsidRDefault="009A4B8C" w:rsidP="009A4B8C">
      <w:pPr>
        <w:pStyle w:val="NormalWeb"/>
      </w:pPr>
      <w:r>
        <w:rPr>
          <w:rFonts w:ascii="HelveticaNeueLT" w:hAnsi="HelveticaNeueLT"/>
          <w:sz w:val="18"/>
          <w:szCs w:val="18"/>
        </w:rPr>
        <w:t xml:space="preserve">• L’entrainement à la cotation et à l’interprétation des résultats à partir de cas de patients </w:t>
      </w:r>
    </w:p>
    <w:p w:rsidR="009A4B8C" w:rsidRDefault="009A4B8C" w:rsidP="009A4B8C">
      <w:pPr>
        <w:pStyle w:val="NormalWeb"/>
      </w:pPr>
      <w:r>
        <w:rPr>
          <w:rFonts w:ascii="HelveticaNeueLT" w:hAnsi="HelveticaNeueLT"/>
          <w:b/>
          <w:bCs/>
          <w:sz w:val="20"/>
          <w:szCs w:val="20"/>
        </w:rPr>
        <w:t xml:space="preserve">Moyens pédagogiques </w:t>
      </w:r>
    </w:p>
    <w:p w:rsidR="009A4B8C" w:rsidRDefault="009A4B8C" w:rsidP="009A4B8C">
      <w:pPr>
        <w:pStyle w:val="NormalWeb"/>
        <w:rPr>
          <w:rFonts w:ascii="HelveticaNeueLT" w:hAnsi="HelveticaNeueLT"/>
          <w:sz w:val="18"/>
          <w:szCs w:val="18"/>
        </w:rPr>
      </w:pPr>
      <w:r>
        <w:rPr>
          <w:rFonts w:ascii="HelveticaNeueLT" w:hAnsi="HelveticaNeueLT"/>
          <w:sz w:val="18"/>
          <w:szCs w:val="18"/>
        </w:rPr>
        <w:t>- Apports théoriques et discussion autour des outils utilisés par les participants</w:t>
      </w:r>
    </w:p>
    <w:p w:rsidR="009A4B8C" w:rsidRDefault="009A4B8C" w:rsidP="009A4B8C">
      <w:pPr>
        <w:pStyle w:val="NormalWeb"/>
        <w:rPr>
          <w:rFonts w:ascii="HelveticaNeueLT" w:hAnsi="HelveticaNeueLT"/>
          <w:sz w:val="18"/>
          <w:szCs w:val="18"/>
        </w:rPr>
      </w:pPr>
      <w:r>
        <w:rPr>
          <w:rFonts w:ascii="HelveticaNeueLT" w:hAnsi="HelveticaNeueLT"/>
          <w:sz w:val="18"/>
          <w:szCs w:val="18"/>
        </w:rPr>
        <w:t>- Diaporama, vidéos</w:t>
      </w:r>
    </w:p>
    <w:p w:rsidR="009A4B8C" w:rsidRDefault="009A4B8C" w:rsidP="009A4B8C">
      <w:pPr>
        <w:pStyle w:val="NormalWeb"/>
      </w:pPr>
      <w:r>
        <w:rPr>
          <w:rFonts w:ascii="HelveticaNeueLT" w:hAnsi="HelveticaNeueLT"/>
          <w:sz w:val="18"/>
          <w:szCs w:val="18"/>
        </w:rPr>
        <w:t xml:space="preserve">- Protocoles détaillés et grilles d’interprétation des outils d’évaluation </w:t>
      </w:r>
    </w:p>
    <w:p w:rsidR="009A4B8C" w:rsidRDefault="009A4B8C" w:rsidP="009A4B8C">
      <w:pPr>
        <w:pStyle w:val="NormalWeb"/>
      </w:pPr>
      <w:r>
        <w:rPr>
          <w:rFonts w:ascii="HelveticaNeueLT" w:hAnsi="HelveticaNeueLT"/>
          <w:sz w:val="18"/>
          <w:szCs w:val="18"/>
        </w:rPr>
        <w:t xml:space="preserve">- Ateliers pratiques : prise en main du matériel spécifique et familiarisation avec les protocoles de passation et les critères de cotation - cotation sur vidéos de patients) </w:t>
      </w:r>
    </w:p>
    <w:p w:rsidR="009A4B8C" w:rsidRDefault="009A4B8C" w:rsidP="009A4B8C">
      <w:pPr>
        <w:pStyle w:val="NormalWeb"/>
        <w:rPr>
          <w:rFonts w:ascii="HelveticaNeueLT" w:hAnsi="HelveticaNeueLT"/>
          <w:sz w:val="18"/>
          <w:szCs w:val="18"/>
        </w:rPr>
      </w:pPr>
      <w:r>
        <w:rPr>
          <w:rFonts w:ascii="HelveticaNeueLT" w:hAnsi="HelveticaNeueLT"/>
          <w:sz w:val="18"/>
          <w:szCs w:val="18"/>
        </w:rPr>
        <w:t>- Études de cas cliniques (choix des outils les plus adaptés - interprétation des résultats)</w:t>
      </w:r>
    </w:p>
    <w:p w:rsidR="009A4B8C" w:rsidRDefault="009A4B8C" w:rsidP="009A4B8C">
      <w:pPr>
        <w:pStyle w:val="NormalWeb"/>
        <w:rPr>
          <w:rFonts w:ascii="HelveticaNeueLT" w:hAnsi="HelveticaNeueLT"/>
          <w:sz w:val="18"/>
          <w:szCs w:val="18"/>
        </w:rPr>
      </w:pPr>
      <w:r>
        <w:rPr>
          <w:rFonts w:ascii="HelveticaNeueLT" w:hAnsi="HelveticaNeueLT"/>
          <w:sz w:val="18"/>
          <w:szCs w:val="18"/>
        </w:rPr>
        <w:t>- Analyse des pratiques professionnelles</w:t>
      </w:r>
    </w:p>
    <w:p w:rsidR="009A4B8C" w:rsidRDefault="009A4B8C" w:rsidP="009A4B8C">
      <w:pPr>
        <w:pStyle w:val="NormalWeb"/>
      </w:pPr>
      <w:r>
        <w:rPr>
          <w:rFonts w:ascii="HelveticaNeueLT" w:hAnsi="HelveticaNeueLT"/>
          <w:sz w:val="18"/>
          <w:szCs w:val="18"/>
        </w:rPr>
        <w:t xml:space="preserve">- Références bibliographiques et support pédagogique </w:t>
      </w:r>
    </w:p>
    <w:p w:rsidR="009A4B8C" w:rsidRDefault="009A4B8C" w:rsidP="009A4B8C">
      <w:pPr>
        <w:pStyle w:val="NormalWeb"/>
      </w:pPr>
      <w:r>
        <w:rPr>
          <w:rFonts w:ascii="HelveticaNeueLT" w:hAnsi="HelveticaNeueLT"/>
          <w:b/>
          <w:bCs/>
          <w:sz w:val="20"/>
          <w:szCs w:val="20"/>
        </w:rPr>
        <w:lastRenderedPageBreak/>
        <w:t xml:space="preserve">Modalités d’évaluation </w:t>
      </w:r>
    </w:p>
    <w:p w:rsidR="009A4B8C" w:rsidRDefault="009A4B8C" w:rsidP="009A4B8C">
      <w:pPr>
        <w:pStyle w:val="NormalWeb"/>
      </w:pPr>
      <w:r>
        <w:rPr>
          <w:rFonts w:ascii="HelveticaNeueLT" w:hAnsi="HelveticaNeueLT"/>
          <w:sz w:val="18"/>
          <w:szCs w:val="18"/>
        </w:rPr>
        <w:t>Des grilles d’analyse (grille de Law) des outils d’évaluation utilisés par les participants dans leur pratique quotidienne seront remplies en début de formation. Leur correction permettra au participant</w:t>
      </w:r>
      <w:r>
        <w:rPr>
          <w:rFonts w:ascii="HelveticaNeueLT" w:hAnsi="HelveticaNeueLT"/>
          <w:sz w:val="18"/>
          <w:szCs w:val="18"/>
        </w:rPr>
        <w:br/>
        <w:t xml:space="preserve">de faire le point sur sa pratique actuelle. Les outils proposés pendant la formation seront analysés avec la même grille. L’ensemble de ces grilles permettra au participant de repartir sur son lieu d’exercice avec des arguments pour modifier sa pratique. </w:t>
      </w:r>
    </w:p>
    <w:p w:rsidR="009A4B8C" w:rsidRDefault="009A4B8C" w:rsidP="009A4B8C">
      <w:pPr>
        <w:pStyle w:val="NormalWeb"/>
        <w:rPr>
          <w:rFonts w:ascii="HelveticaNeueLT" w:hAnsi="HelveticaNeueLT"/>
          <w:sz w:val="18"/>
          <w:szCs w:val="18"/>
        </w:rPr>
      </w:pPr>
      <w:r>
        <w:rPr>
          <w:rFonts w:ascii="HelveticaNeueLT" w:hAnsi="HelveticaNeueLT"/>
          <w:sz w:val="18"/>
          <w:szCs w:val="18"/>
        </w:rPr>
        <w:t xml:space="preserve">Les outils d’évaluation seront manipulés pendant la formation, des exercices de cotation et d’interprétation seront réalisés à partir de films présentant des cas cliniques. Une analyse de ces pratiques sera réalisée avec l’aide de la formatrice afin d’identifier des axes d’amélioration. Un soutien post-formation par email sera proposé́ pour permettre aux participants de mettre en place les outils sur leur lieu de pratique. </w:t>
      </w:r>
    </w:p>
    <w:p w:rsidR="00480EF2" w:rsidRDefault="00480EF2" w:rsidP="009A4B8C">
      <w:pPr>
        <w:pStyle w:val="NormalWeb"/>
      </w:pPr>
      <w:r>
        <w:rPr>
          <w:rFonts w:ascii="HelveticaNeueLT" w:hAnsi="HelveticaNeueLT"/>
          <w:sz w:val="18"/>
          <w:szCs w:val="18"/>
        </w:rPr>
        <w:t>Un quizz en fin de session permettra de vérifier l’acquisition des connaissances.</w:t>
      </w:r>
    </w:p>
    <w:p w:rsidR="009A4B8C" w:rsidRDefault="009A4B8C" w:rsidP="009A4B8C">
      <w:pPr>
        <w:pStyle w:val="NormalWeb"/>
      </w:pPr>
      <w:r>
        <w:rPr>
          <w:rFonts w:ascii="HelveticaNeueLT" w:hAnsi="HelveticaNeueLT"/>
          <w:b/>
          <w:bCs/>
          <w:sz w:val="20"/>
          <w:szCs w:val="20"/>
        </w:rPr>
        <w:t xml:space="preserve">Formatrice </w:t>
      </w:r>
    </w:p>
    <w:p w:rsidR="009A4B8C" w:rsidRDefault="00480EF2" w:rsidP="009A4B8C">
      <w:pPr>
        <w:pStyle w:val="NormalWeb"/>
      </w:pPr>
      <w:r>
        <w:rPr>
          <w:rFonts w:ascii="HelveticaNeueLT" w:hAnsi="HelveticaNeueLT"/>
          <w:b/>
          <w:bCs/>
          <w:sz w:val="18"/>
          <w:szCs w:val="18"/>
        </w:rPr>
        <w:t>Danièle</w:t>
      </w:r>
      <w:r w:rsidR="009A4B8C">
        <w:rPr>
          <w:rFonts w:ascii="HelveticaNeueLT" w:hAnsi="HelveticaNeueLT"/>
          <w:b/>
          <w:bCs/>
          <w:sz w:val="18"/>
          <w:szCs w:val="18"/>
        </w:rPr>
        <w:t xml:space="preserve"> KUPPER, </w:t>
      </w:r>
      <w:r>
        <w:rPr>
          <w:rFonts w:ascii="HelveticaNeueLT" w:hAnsi="HelveticaNeueLT"/>
          <w:sz w:val="18"/>
          <w:szCs w:val="18"/>
        </w:rPr>
        <w:t>Ergothérapeute</w:t>
      </w:r>
      <w:r w:rsidR="009A4B8C">
        <w:rPr>
          <w:rFonts w:ascii="HelveticaNeueLT" w:hAnsi="HelveticaNeueLT"/>
          <w:sz w:val="18"/>
          <w:szCs w:val="18"/>
        </w:rPr>
        <w:t>, formatrice</w:t>
      </w:r>
      <w:r>
        <w:rPr>
          <w:rFonts w:ascii="HelveticaNeueLT" w:hAnsi="HelveticaNeueLT"/>
          <w:sz w:val="18"/>
          <w:szCs w:val="18"/>
        </w:rPr>
        <w:t>, experte clinique</w:t>
      </w:r>
      <w:r w:rsidR="009A4B8C">
        <w:rPr>
          <w:rFonts w:ascii="HelveticaNeueLT" w:hAnsi="HelveticaNeueLT"/>
          <w:sz w:val="18"/>
          <w:szCs w:val="18"/>
        </w:rPr>
        <w:t xml:space="preserve">. Auteure de l’ouvrage : </w:t>
      </w:r>
      <w:r>
        <w:rPr>
          <w:rFonts w:ascii="HelveticaNeueLT" w:hAnsi="HelveticaNeueLT"/>
          <w:sz w:val="18"/>
          <w:szCs w:val="18"/>
        </w:rPr>
        <w:t>Évaluer</w:t>
      </w:r>
      <w:r w:rsidR="009A4B8C">
        <w:rPr>
          <w:rFonts w:ascii="HelveticaNeueLT" w:hAnsi="HelveticaNeueLT"/>
          <w:sz w:val="18"/>
          <w:szCs w:val="18"/>
        </w:rPr>
        <w:t xml:space="preserve"> la </w:t>
      </w:r>
      <w:r>
        <w:rPr>
          <w:rFonts w:ascii="HelveticaNeueLT" w:hAnsi="HelveticaNeueLT"/>
          <w:sz w:val="18"/>
          <w:szCs w:val="18"/>
        </w:rPr>
        <w:t>récupération</w:t>
      </w:r>
      <w:r w:rsidR="009A4B8C">
        <w:rPr>
          <w:rFonts w:ascii="HelveticaNeueLT" w:hAnsi="HelveticaNeueLT"/>
          <w:sz w:val="18"/>
          <w:szCs w:val="18"/>
        </w:rPr>
        <w:t xml:space="preserve"> motrice du membre </w:t>
      </w:r>
      <w:r>
        <w:rPr>
          <w:rFonts w:ascii="HelveticaNeueLT" w:hAnsi="HelveticaNeueLT"/>
          <w:sz w:val="18"/>
          <w:szCs w:val="18"/>
        </w:rPr>
        <w:t>supérieur</w:t>
      </w:r>
      <w:r w:rsidR="009A4B8C">
        <w:rPr>
          <w:rFonts w:ascii="HelveticaNeueLT" w:hAnsi="HelveticaNeueLT"/>
          <w:sz w:val="18"/>
          <w:szCs w:val="18"/>
        </w:rPr>
        <w:t xml:space="preserve"> </w:t>
      </w:r>
      <w:r>
        <w:rPr>
          <w:rFonts w:ascii="HelveticaNeueLT" w:hAnsi="HelveticaNeueLT"/>
          <w:sz w:val="18"/>
          <w:szCs w:val="18"/>
        </w:rPr>
        <w:t>parétique</w:t>
      </w:r>
      <w:r w:rsidR="009A4B8C">
        <w:rPr>
          <w:rFonts w:ascii="HelveticaNeueLT" w:hAnsi="HelveticaNeueLT"/>
          <w:sz w:val="18"/>
          <w:szCs w:val="18"/>
        </w:rPr>
        <w:t xml:space="preserve"> à la suite d’un AVC. 2013, </w:t>
      </w:r>
      <w:r>
        <w:rPr>
          <w:rFonts w:ascii="HelveticaNeueLT" w:hAnsi="HelveticaNeueLT"/>
          <w:sz w:val="18"/>
          <w:szCs w:val="18"/>
        </w:rPr>
        <w:t>Éditions</w:t>
      </w:r>
      <w:r w:rsidR="009A4B8C">
        <w:rPr>
          <w:rFonts w:ascii="HelveticaNeueLT" w:hAnsi="HelveticaNeueLT"/>
          <w:sz w:val="18"/>
          <w:szCs w:val="18"/>
        </w:rPr>
        <w:t xml:space="preserve"> de Boeck, Bruxelles. Certificats en recherche clinique </w:t>
      </w:r>
      <w:r>
        <w:rPr>
          <w:rFonts w:ascii="HelveticaNeueLT" w:hAnsi="HelveticaNeueLT"/>
          <w:sz w:val="18"/>
          <w:szCs w:val="18"/>
        </w:rPr>
        <w:t>orientée</w:t>
      </w:r>
      <w:r w:rsidR="009A4B8C">
        <w:rPr>
          <w:rFonts w:ascii="HelveticaNeueLT" w:hAnsi="HelveticaNeueLT"/>
          <w:sz w:val="18"/>
          <w:szCs w:val="18"/>
        </w:rPr>
        <w:t xml:space="preserve"> patients et en </w:t>
      </w:r>
      <w:r>
        <w:rPr>
          <w:rFonts w:ascii="HelveticaNeueLT" w:hAnsi="HelveticaNeueLT"/>
          <w:sz w:val="18"/>
          <w:szCs w:val="18"/>
        </w:rPr>
        <w:t>qualité</w:t>
      </w:r>
      <w:r w:rsidR="009A4B8C">
        <w:rPr>
          <w:rFonts w:ascii="HelveticaNeueLT" w:hAnsi="HelveticaNeueLT"/>
          <w:sz w:val="18"/>
          <w:szCs w:val="18"/>
        </w:rPr>
        <w:t xml:space="preserve">́ des soins. Formations </w:t>
      </w:r>
      <w:proofErr w:type="spellStart"/>
      <w:r w:rsidR="009A4B8C">
        <w:rPr>
          <w:rFonts w:ascii="HelveticaNeueLT" w:hAnsi="HelveticaNeueLT"/>
          <w:sz w:val="18"/>
          <w:szCs w:val="18"/>
        </w:rPr>
        <w:t>Bobath</w:t>
      </w:r>
      <w:proofErr w:type="spellEnd"/>
      <w:r w:rsidR="009A4B8C">
        <w:rPr>
          <w:rFonts w:ascii="HelveticaNeueLT" w:hAnsi="HelveticaNeueLT"/>
          <w:sz w:val="18"/>
          <w:szCs w:val="18"/>
        </w:rPr>
        <w:t xml:space="preserve">, PNF, </w:t>
      </w:r>
      <w:r>
        <w:rPr>
          <w:rFonts w:ascii="HelveticaNeueLT" w:hAnsi="HelveticaNeueLT"/>
          <w:sz w:val="18"/>
          <w:szCs w:val="18"/>
        </w:rPr>
        <w:t>Thérapie</w:t>
      </w:r>
      <w:r w:rsidR="009A4B8C">
        <w:rPr>
          <w:rFonts w:ascii="HelveticaNeueLT" w:hAnsi="HelveticaNeueLT"/>
          <w:sz w:val="18"/>
          <w:szCs w:val="18"/>
        </w:rPr>
        <w:t xml:space="preserve"> </w:t>
      </w:r>
      <w:proofErr w:type="spellStart"/>
      <w:r>
        <w:rPr>
          <w:rFonts w:ascii="HelveticaNeueLT" w:hAnsi="HelveticaNeueLT"/>
          <w:sz w:val="18"/>
          <w:szCs w:val="18"/>
        </w:rPr>
        <w:t>cognitivo</w:t>
      </w:r>
      <w:proofErr w:type="spellEnd"/>
      <w:r w:rsidR="009A4B8C">
        <w:rPr>
          <w:rFonts w:ascii="HelveticaNeueLT" w:hAnsi="HelveticaNeueLT"/>
          <w:sz w:val="18"/>
          <w:szCs w:val="18"/>
        </w:rPr>
        <w:t>- comportementale, Evidence-</w:t>
      </w:r>
      <w:proofErr w:type="spellStart"/>
      <w:r w:rsidR="009A4B8C">
        <w:rPr>
          <w:rFonts w:ascii="HelveticaNeueLT" w:hAnsi="HelveticaNeueLT"/>
          <w:sz w:val="18"/>
          <w:szCs w:val="18"/>
        </w:rPr>
        <w:t>based</w:t>
      </w:r>
      <w:proofErr w:type="spellEnd"/>
      <w:r w:rsidR="009A4B8C">
        <w:rPr>
          <w:rFonts w:ascii="HelveticaNeueLT" w:hAnsi="HelveticaNeueLT"/>
          <w:sz w:val="18"/>
          <w:szCs w:val="18"/>
        </w:rPr>
        <w:t xml:space="preserve"> practice, </w:t>
      </w:r>
      <w:proofErr w:type="spellStart"/>
      <w:r w:rsidR="009A4B8C">
        <w:rPr>
          <w:rFonts w:ascii="HelveticaNeueLT" w:hAnsi="HelveticaNeueLT"/>
          <w:sz w:val="18"/>
          <w:szCs w:val="18"/>
        </w:rPr>
        <w:t>Motor</w:t>
      </w:r>
      <w:proofErr w:type="spellEnd"/>
      <w:r w:rsidR="009A4B8C">
        <w:rPr>
          <w:rFonts w:ascii="HelveticaNeueLT" w:hAnsi="HelveticaNeueLT"/>
          <w:sz w:val="18"/>
          <w:szCs w:val="18"/>
        </w:rPr>
        <w:t xml:space="preserve"> Control and </w:t>
      </w:r>
      <w:proofErr w:type="spellStart"/>
      <w:r w:rsidR="009A4B8C">
        <w:rPr>
          <w:rFonts w:ascii="HelveticaNeueLT" w:hAnsi="HelveticaNeueLT"/>
          <w:sz w:val="18"/>
          <w:szCs w:val="18"/>
        </w:rPr>
        <w:t>Motor</w:t>
      </w:r>
      <w:proofErr w:type="spellEnd"/>
      <w:r w:rsidR="009A4B8C">
        <w:rPr>
          <w:rFonts w:ascii="HelveticaNeueLT" w:hAnsi="HelveticaNeueLT"/>
          <w:sz w:val="18"/>
          <w:szCs w:val="18"/>
        </w:rPr>
        <w:t xml:space="preserve"> </w:t>
      </w:r>
      <w:proofErr w:type="spellStart"/>
      <w:r w:rsidR="009A4B8C">
        <w:rPr>
          <w:rFonts w:ascii="HelveticaNeueLT" w:hAnsi="HelveticaNeueLT"/>
          <w:sz w:val="18"/>
          <w:szCs w:val="18"/>
        </w:rPr>
        <w:t>learning</w:t>
      </w:r>
      <w:proofErr w:type="spellEnd"/>
      <w:r w:rsidR="009A4B8C">
        <w:rPr>
          <w:rFonts w:ascii="HelveticaNeueLT" w:hAnsi="HelveticaNeueLT"/>
          <w:sz w:val="18"/>
          <w:szCs w:val="18"/>
        </w:rPr>
        <w:t xml:space="preserve"> </w:t>
      </w:r>
      <w:proofErr w:type="spellStart"/>
      <w:r w:rsidR="009A4B8C">
        <w:rPr>
          <w:rFonts w:ascii="HelveticaNeueLT" w:hAnsi="HelveticaNeueLT"/>
          <w:sz w:val="18"/>
          <w:szCs w:val="18"/>
        </w:rPr>
        <w:t>principles</w:t>
      </w:r>
      <w:proofErr w:type="spellEnd"/>
      <w:r w:rsidR="009A4B8C">
        <w:rPr>
          <w:rFonts w:ascii="HelveticaNeueLT" w:hAnsi="HelveticaNeueLT"/>
          <w:sz w:val="18"/>
          <w:szCs w:val="18"/>
        </w:rPr>
        <w:t xml:space="preserve"> in </w:t>
      </w:r>
      <w:proofErr w:type="spellStart"/>
      <w:r w:rsidR="009A4B8C">
        <w:rPr>
          <w:rFonts w:ascii="HelveticaNeueLT" w:hAnsi="HelveticaNeueLT"/>
          <w:sz w:val="18"/>
          <w:szCs w:val="18"/>
        </w:rPr>
        <w:t>clinical</w:t>
      </w:r>
      <w:proofErr w:type="spellEnd"/>
      <w:r w:rsidR="009A4B8C">
        <w:rPr>
          <w:rFonts w:ascii="HelveticaNeueLT" w:hAnsi="HelveticaNeueLT"/>
          <w:sz w:val="18"/>
          <w:szCs w:val="18"/>
        </w:rPr>
        <w:t xml:space="preserve"> </w:t>
      </w:r>
      <w:proofErr w:type="spellStart"/>
      <w:r w:rsidR="009A4B8C">
        <w:rPr>
          <w:rFonts w:ascii="HelveticaNeueLT" w:hAnsi="HelveticaNeueLT"/>
          <w:sz w:val="18"/>
          <w:szCs w:val="18"/>
        </w:rPr>
        <w:t>pratice</w:t>
      </w:r>
      <w:proofErr w:type="spellEnd"/>
      <w:r w:rsidR="009A4B8C">
        <w:rPr>
          <w:rFonts w:ascii="HelveticaNeueLT" w:hAnsi="HelveticaNeueLT"/>
          <w:sz w:val="18"/>
          <w:szCs w:val="18"/>
        </w:rPr>
        <w:t xml:space="preserve">, </w:t>
      </w:r>
      <w:r>
        <w:rPr>
          <w:rFonts w:ascii="HelveticaNeueLT" w:hAnsi="HelveticaNeueLT"/>
          <w:sz w:val="18"/>
          <w:szCs w:val="18"/>
        </w:rPr>
        <w:t>pédagogie</w:t>
      </w:r>
      <w:r w:rsidR="009A4B8C">
        <w:rPr>
          <w:rFonts w:ascii="HelveticaNeueLT" w:hAnsi="HelveticaNeueLT"/>
          <w:sz w:val="18"/>
          <w:szCs w:val="18"/>
        </w:rPr>
        <w:t xml:space="preserve"> en formation continue, etc. </w:t>
      </w:r>
    </w:p>
    <w:p w:rsidR="009A4B8C" w:rsidRPr="009A4B8C" w:rsidRDefault="009A4B8C" w:rsidP="009A4B8C">
      <w:pPr>
        <w:spacing w:before="100" w:beforeAutospacing="1" w:after="100" w:afterAutospacing="1"/>
        <w:rPr>
          <w:rFonts w:ascii="Times New Roman" w:eastAsia="Times New Roman" w:hAnsi="Times New Roman" w:cs="Times New Roman"/>
          <w:lang w:eastAsia="fr-FR"/>
        </w:rPr>
      </w:pPr>
      <w:r w:rsidRPr="009A4B8C">
        <w:rPr>
          <w:rFonts w:ascii="HelveticaNeueLT" w:eastAsia="Times New Roman" w:hAnsi="HelveticaNeueLT" w:cs="Times New Roman"/>
          <w:b/>
          <w:bCs/>
          <w:color w:val="FFFFFF"/>
          <w:sz w:val="30"/>
          <w:szCs w:val="30"/>
          <w:lang w:eastAsia="fr-FR"/>
        </w:rPr>
        <w:t xml:space="preserve">RÉF. EV13 190061 </w:t>
      </w:r>
    </w:p>
    <w:p w:rsidR="00321478" w:rsidRDefault="0005594E"/>
    <w:sectPr w:rsidR="00321478" w:rsidSect="00E12E3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14233"/>
    <w:multiLevelType w:val="hybridMultilevel"/>
    <w:tmpl w:val="C1928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B8C"/>
    <w:rsid w:val="0005594E"/>
    <w:rsid w:val="00480EF2"/>
    <w:rsid w:val="004C63A9"/>
    <w:rsid w:val="009A4B8C"/>
    <w:rsid w:val="00AE731F"/>
    <w:rsid w:val="00C2286E"/>
    <w:rsid w:val="00D23E13"/>
    <w:rsid w:val="00E12E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A4B8C"/>
    <w:pPr>
      <w:spacing w:before="100" w:beforeAutospacing="1" w:after="100" w:afterAutospacing="1"/>
    </w:pPr>
    <w:rPr>
      <w:rFonts w:ascii="Times New Roman" w:eastAsia="Times New Roman" w:hAnsi="Times New Roman" w:cs="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A4B8C"/>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169496">
      <w:bodyDiv w:val="1"/>
      <w:marLeft w:val="0"/>
      <w:marRight w:val="0"/>
      <w:marTop w:val="0"/>
      <w:marBottom w:val="0"/>
      <w:divBdr>
        <w:top w:val="none" w:sz="0" w:space="0" w:color="auto"/>
        <w:left w:val="none" w:sz="0" w:space="0" w:color="auto"/>
        <w:bottom w:val="none" w:sz="0" w:space="0" w:color="auto"/>
        <w:right w:val="none" w:sz="0" w:space="0" w:color="auto"/>
      </w:divBdr>
      <w:divsChild>
        <w:div w:id="1431394538">
          <w:marLeft w:val="0"/>
          <w:marRight w:val="0"/>
          <w:marTop w:val="0"/>
          <w:marBottom w:val="0"/>
          <w:divBdr>
            <w:top w:val="none" w:sz="0" w:space="0" w:color="auto"/>
            <w:left w:val="none" w:sz="0" w:space="0" w:color="auto"/>
            <w:bottom w:val="none" w:sz="0" w:space="0" w:color="auto"/>
            <w:right w:val="none" w:sz="0" w:space="0" w:color="auto"/>
          </w:divBdr>
          <w:divsChild>
            <w:div w:id="1936859290">
              <w:marLeft w:val="0"/>
              <w:marRight w:val="0"/>
              <w:marTop w:val="0"/>
              <w:marBottom w:val="0"/>
              <w:divBdr>
                <w:top w:val="none" w:sz="0" w:space="0" w:color="auto"/>
                <w:left w:val="none" w:sz="0" w:space="0" w:color="auto"/>
                <w:bottom w:val="none" w:sz="0" w:space="0" w:color="auto"/>
                <w:right w:val="none" w:sz="0" w:space="0" w:color="auto"/>
              </w:divBdr>
              <w:divsChild>
                <w:div w:id="1977833017">
                  <w:marLeft w:val="0"/>
                  <w:marRight w:val="0"/>
                  <w:marTop w:val="0"/>
                  <w:marBottom w:val="0"/>
                  <w:divBdr>
                    <w:top w:val="none" w:sz="0" w:space="0" w:color="auto"/>
                    <w:left w:val="none" w:sz="0" w:space="0" w:color="auto"/>
                    <w:bottom w:val="none" w:sz="0" w:space="0" w:color="auto"/>
                    <w:right w:val="none" w:sz="0" w:space="0" w:color="auto"/>
                  </w:divBdr>
                  <w:divsChild>
                    <w:div w:id="11344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29625">
      <w:bodyDiv w:val="1"/>
      <w:marLeft w:val="0"/>
      <w:marRight w:val="0"/>
      <w:marTop w:val="0"/>
      <w:marBottom w:val="0"/>
      <w:divBdr>
        <w:top w:val="none" w:sz="0" w:space="0" w:color="auto"/>
        <w:left w:val="none" w:sz="0" w:space="0" w:color="auto"/>
        <w:bottom w:val="none" w:sz="0" w:space="0" w:color="auto"/>
        <w:right w:val="none" w:sz="0" w:space="0" w:color="auto"/>
      </w:divBdr>
      <w:divsChild>
        <w:div w:id="441802653">
          <w:marLeft w:val="0"/>
          <w:marRight w:val="0"/>
          <w:marTop w:val="0"/>
          <w:marBottom w:val="0"/>
          <w:divBdr>
            <w:top w:val="none" w:sz="0" w:space="0" w:color="auto"/>
            <w:left w:val="none" w:sz="0" w:space="0" w:color="auto"/>
            <w:bottom w:val="none" w:sz="0" w:space="0" w:color="auto"/>
            <w:right w:val="none" w:sz="0" w:space="0" w:color="auto"/>
          </w:divBdr>
          <w:divsChild>
            <w:div w:id="968049703">
              <w:marLeft w:val="0"/>
              <w:marRight w:val="0"/>
              <w:marTop w:val="0"/>
              <w:marBottom w:val="0"/>
              <w:divBdr>
                <w:top w:val="none" w:sz="0" w:space="0" w:color="auto"/>
                <w:left w:val="none" w:sz="0" w:space="0" w:color="auto"/>
                <w:bottom w:val="none" w:sz="0" w:space="0" w:color="auto"/>
                <w:right w:val="none" w:sz="0" w:space="0" w:color="auto"/>
              </w:divBdr>
              <w:divsChild>
                <w:div w:id="1206142986">
                  <w:marLeft w:val="0"/>
                  <w:marRight w:val="0"/>
                  <w:marTop w:val="0"/>
                  <w:marBottom w:val="0"/>
                  <w:divBdr>
                    <w:top w:val="none" w:sz="0" w:space="0" w:color="auto"/>
                    <w:left w:val="none" w:sz="0" w:space="0" w:color="auto"/>
                    <w:bottom w:val="none" w:sz="0" w:space="0" w:color="auto"/>
                    <w:right w:val="none" w:sz="0" w:space="0" w:color="auto"/>
                  </w:divBdr>
                  <w:divsChild>
                    <w:div w:id="9569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641557">
      <w:bodyDiv w:val="1"/>
      <w:marLeft w:val="0"/>
      <w:marRight w:val="0"/>
      <w:marTop w:val="0"/>
      <w:marBottom w:val="0"/>
      <w:divBdr>
        <w:top w:val="none" w:sz="0" w:space="0" w:color="auto"/>
        <w:left w:val="none" w:sz="0" w:space="0" w:color="auto"/>
        <w:bottom w:val="none" w:sz="0" w:space="0" w:color="auto"/>
        <w:right w:val="none" w:sz="0" w:space="0" w:color="auto"/>
      </w:divBdr>
      <w:divsChild>
        <w:div w:id="1187869012">
          <w:marLeft w:val="0"/>
          <w:marRight w:val="0"/>
          <w:marTop w:val="0"/>
          <w:marBottom w:val="0"/>
          <w:divBdr>
            <w:top w:val="none" w:sz="0" w:space="0" w:color="auto"/>
            <w:left w:val="none" w:sz="0" w:space="0" w:color="auto"/>
            <w:bottom w:val="none" w:sz="0" w:space="0" w:color="auto"/>
            <w:right w:val="none" w:sz="0" w:space="0" w:color="auto"/>
          </w:divBdr>
          <w:divsChild>
            <w:div w:id="1294020293">
              <w:marLeft w:val="0"/>
              <w:marRight w:val="0"/>
              <w:marTop w:val="0"/>
              <w:marBottom w:val="0"/>
              <w:divBdr>
                <w:top w:val="none" w:sz="0" w:space="0" w:color="auto"/>
                <w:left w:val="none" w:sz="0" w:space="0" w:color="auto"/>
                <w:bottom w:val="none" w:sz="0" w:space="0" w:color="auto"/>
                <w:right w:val="none" w:sz="0" w:space="0" w:color="auto"/>
              </w:divBdr>
              <w:divsChild>
                <w:div w:id="1846623909">
                  <w:marLeft w:val="0"/>
                  <w:marRight w:val="0"/>
                  <w:marTop w:val="0"/>
                  <w:marBottom w:val="0"/>
                  <w:divBdr>
                    <w:top w:val="none" w:sz="0" w:space="0" w:color="auto"/>
                    <w:left w:val="none" w:sz="0" w:space="0" w:color="auto"/>
                    <w:bottom w:val="none" w:sz="0" w:space="0" w:color="auto"/>
                    <w:right w:val="none" w:sz="0" w:space="0" w:color="auto"/>
                  </w:divBdr>
                  <w:divsChild>
                    <w:div w:id="193875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69654">
      <w:bodyDiv w:val="1"/>
      <w:marLeft w:val="0"/>
      <w:marRight w:val="0"/>
      <w:marTop w:val="0"/>
      <w:marBottom w:val="0"/>
      <w:divBdr>
        <w:top w:val="none" w:sz="0" w:space="0" w:color="auto"/>
        <w:left w:val="none" w:sz="0" w:space="0" w:color="auto"/>
        <w:bottom w:val="none" w:sz="0" w:space="0" w:color="auto"/>
        <w:right w:val="none" w:sz="0" w:space="0" w:color="auto"/>
      </w:divBdr>
      <w:divsChild>
        <w:div w:id="1714186994">
          <w:marLeft w:val="0"/>
          <w:marRight w:val="0"/>
          <w:marTop w:val="0"/>
          <w:marBottom w:val="0"/>
          <w:divBdr>
            <w:top w:val="none" w:sz="0" w:space="0" w:color="auto"/>
            <w:left w:val="none" w:sz="0" w:space="0" w:color="auto"/>
            <w:bottom w:val="none" w:sz="0" w:space="0" w:color="auto"/>
            <w:right w:val="none" w:sz="0" w:space="0" w:color="auto"/>
          </w:divBdr>
          <w:divsChild>
            <w:div w:id="678318328">
              <w:marLeft w:val="0"/>
              <w:marRight w:val="0"/>
              <w:marTop w:val="0"/>
              <w:marBottom w:val="0"/>
              <w:divBdr>
                <w:top w:val="none" w:sz="0" w:space="0" w:color="auto"/>
                <w:left w:val="none" w:sz="0" w:space="0" w:color="auto"/>
                <w:bottom w:val="none" w:sz="0" w:space="0" w:color="auto"/>
                <w:right w:val="none" w:sz="0" w:space="0" w:color="auto"/>
              </w:divBdr>
              <w:divsChild>
                <w:div w:id="1098451367">
                  <w:marLeft w:val="0"/>
                  <w:marRight w:val="0"/>
                  <w:marTop w:val="0"/>
                  <w:marBottom w:val="0"/>
                  <w:divBdr>
                    <w:top w:val="none" w:sz="0" w:space="0" w:color="auto"/>
                    <w:left w:val="none" w:sz="0" w:space="0" w:color="auto"/>
                    <w:bottom w:val="none" w:sz="0" w:space="0" w:color="auto"/>
                    <w:right w:val="none" w:sz="0" w:space="0" w:color="auto"/>
                  </w:divBdr>
                  <w:divsChild>
                    <w:div w:id="1762021393">
                      <w:marLeft w:val="0"/>
                      <w:marRight w:val="0"/>
                      <w:marTop w:val="0"/>
                      <w:marBottom w:val="0"/>
                      <w:divBdr>
                        <w:top w:val="none" w:sz="0" w:space="0" w:color="auto"/>
                        <w:left w:val="none" w:sz="0" w:space="0" w:color="auto"/>
                        <w:bottom w:val="none" w:sz="0" w:space="0" w:color="auto"/>
                        <w:right w:val="none" w:sz="0" w:space="0" w:color="auto"/>
                      </w:divBdr>
                    </w:div>
                  </w:divsChild>
                </w:div>
                <w:div w:id="2068186848">
                  <w:marLeft w:val="0"/>
                  <w:marRight w:val="0"/>
                  <w:marTop w:val="0"/>
                  <w:marBottom w:val="0"/>
                  <w:divBdr>
                    <w:top w:val="none" w:sz="0" w:space="0" w:color="auto"/>
                    <w:left w:val="none" w:sz="0" w:space="0" w:color="auto"/>
                    <w:bottom w:val="none" w:sz="0" w:space="0" w:color="auto"/>
                    <w:right w:val="none" w:sz="0" w:space="0" w:color="auto"/>
                  </w:divBdr>
                  <w:divsChild>
                    <w:div w:id="1278369555">
                      <w:marLeft w:val="0"/>
                      <w:marRight w:val="0"/>
                      <w:marTop w:val="0"/>
                      <w:marBottom w:val="0"/>
                      <w:divBdr>
                        <w:top w:val="none" w:sz="0" w:space="0" w:color="auto"/>
                        <w:left w:val="none" w:sz="0" w:space="0" w:color="auto"/>
                        <w:bottom w:val="none" w:sz="0" w:space="0" w:color="auto"/>
                        <w:right w:val="none" w:sz="0" w:space="0" w:color="auto"/>
                      </w:divBdr>
                    </w:div>
                  </w:divsChild>
                </w:div>
                <w:div w:id="1023090508">
                  <w:marLeft w:val="0"/>
                  <w:marRight w:val="0"/>
                  <w:marTop w:val="0"/>
                  <w:marBottom w:val="0"/>
                  <w:divBdr>
                    <w:top w:val="none" w:sz="0" w:space="0" w:color="auto"/>
                    <w:left w:val="none" w:sz="0" w:space="0" w:color="auto"/>
                    <w:bottom w:val="none" w:sz="0" w:space="0" w:color="auto"/>
                    <w:right w:val="none" w:sz="0" w:space="0" w:color="auto"/>
                  </w:divBdr>
                  <w:divsChild>
                    <w:div w:id="584417190">
                      <w:marLeft w:val="0"/>
                      <w:marRight w:val="0"/>
                      <w:marTop w:val="0"/>
                      <w:marBottom w:val="0"/>
                      <w:divBdr>
                        <w:top w:val="none" w:sz="0" w:space="0" w:color="auto"/>
                        <w:left w:val="none" w:sz="0" w:space="0" w:color="auto"/>
                        <w:bottom w:val="none" w:sz="0" w:space="0" w:color="auto"/>
                        <w:right w:val="none" w:sz="0" w:space="0" w:color="auto"/>
                      </w:divBdr>
                      <w:divsChild>
                        <w:div w:id="11533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3240</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Danièle Kupper</dc:creator>
  <cp:lastModifiedBy>Clément CHANTIER</cp:lastModifiedBy>
  <cp:revision>2</cp:revision>
  <dcterms:created xsi:type="dcterms:W3CDTF">2018-10-18T06:45:00Z</dcterms:created>
  <dcterms:modified xsi:type="dcterms:W3CDTF">2018-10-18T06:45:00Z</dcterms:modified>
</cp:coreProperties>
</file>